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8C5EF6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07E64"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6C7369" w:rsidP="00B10827">
      <w:pPr>
        <w:pStyle w:val="a3"/>
        <w:spacing w:line="360" w:lineRule="auto"/>
        <w:rPr>
          <w:b w:val="0"/>
          <w:sz w:val="28"/>
          <w:szCs w:val="28"/>
        </w:rPr>
      </w:pPr>
      <w:r w:rsidRPr="006C736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E66EB2" w:rsidRDefault="00E66EB2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D618B5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745F2" w:rsidRDefault="008C5EF6" w:rsidP="00B10827">
      <w:pPr>
        <w:rPr>
          <w:lang w:val="uk-UA"/>
        </w:rPr>
      </w:pPr>
      <w:r w:rsidRPr="008C5EF6">
        <w:rPr>
          <w:lang w:val="uk-UA"/>
        </w:rPr>
        <w:t xml:space="preserve">30 </w:t>
      </w:r>
      <w:r w:rsidR="00D07E64" w:rsidRPr="008C5EF6">
        <w:rPr>
          <w:lang w:val="uk-UA"/>
        </w:rPr>
        <w:t xml:space="preserve"> </w:t>
      </w:r>
      <w:r w:rsidR="00D07E64">
        <w:rPr>
          <w:lang w:val="uk-UA"/>
        </w:rPr>
        <w:t>травня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                           </w:t>
      </w:r>
      <w:r w:rsidR="00D07E64">
        <w:rPr>
          <w:lang w:val="uk-UA"/>
        </w:rPr>
        <w:t xml:space="preserve">    </w:t>
      </w:r>
      <w:r w:rsidR="00D618B5">
        <w:rPr>
          <w:lang w:val="uk-UA"/>
        </w:rPr>
        <w:t xml:space="preserve">  № 20</w:t>
      </w:r>
    </w:p>
    <w:p w:rsidR="00B10827" w:rsidRDefault="00B10827" w:rsidP="00B10827">
      <w:pPr>
        <w:rPr>
          <w:lang w:val="uk-UA"/>
        </w:rPr>
      </w:pPr>
    </w:p>
    <w:p w:rsidR="004C1DD4" w:rsidRPr="004C1DD4" w:rsidRDefault="004C1DD4" w:rsidP="004C1DD4">
      <w:pPr>
        <w:rPr>
          <w:lang w:val="uk-UA"/>
        </w:rPr>
      </w:pPr>
      <w:r w:rsidRPr="00565258">
        <w:rPr>
          <w:bCs/>
          <w:lang w:val="uk-UA"/>
        </w:rPr>
        <w:t>П</w:t>
      </w:r>
      <w:proofErr w:type="spellStart"/>
      <w:r w:rsidRPr="00565258">
        <w:t>ро</w:t>
      </w:r>
      <w:proofErr w:type="spellEnd"/>
      <w:r w:rsidRPr="00565258">
        <w:t xml:space="preserve"> </w:t>
      </w:r>
      <w:r>
        <w:rPr>
          <w:lang w:val="uk-UA"/>
        </w:rPr>
        <w:t xml:space="preserve">оприлюднення проекту регуляторного акту «Про встановлення ставок та пільг із сплати </w:t>
      </w:r>
      <w:r w:rsidRPr="00565258">
        <w:t xml:space="preserve"> </w:t>
      </w:r>
      <w:proofErr w:type="spellStart"/>
      <w:r w:rsidRPr="00565258">
        <w:t>податку</w:t>
      </w:r>
      <w:proofErr w:type="spellEnd"/>
      <w:r w:rsidRPr="00565258">
        <w:t xml:space="preserve"> на </w:t>
      </w:r>
      <w:proofErr w:type="spellStart"/>
      <w:r w:rsidRPr="00565258">
        <w:t>нерухоме</w:t>
      </w:r>
      <w:proofErr w:type="spellEnd"/>
      <w:r w:rsidRPr="00565258">
        <w:t xml:space="preserve"> </w:t>
      </w:r>
      <w:proofErr w:type="spellStart"/>
      <w:r w:rsidRPr="00565258">
        <w:t>майно</w:t>
      </w:r>
      <w:proofErr w:type="spellEnd"/>
      <w:r w:rsidRPr="00565258">
        <w:t xml:space="preserve">, </w:t>
      </w:r>
      <w:proofErr w:type="spellStart"/>
      <w:r w:rsidRPr="00565258">
        <w:t>відмінне</w:t>
      </w:r>
      <w:proofErr w:type="spellEnd"/>
      <w:r w:rsidRPr="00565258">
        <w:t xml:space="preserve"> </w:t>
      </w:r>
      <w:proofErr w:type="spellStart"/>
      <w:r w:rsidRPr="00565258">
        <w:t>від</w:t>
      </w:r>
      <w:proofErr w:type="spellEnd"/>
      <w:r w:rsidRPr="00565258">
        <w:t xml:space="preserve"> </w:t>
      </w:r>
      <w:proofErr w:type="spellStart"/>
      <w:r w:rsidRPr="00565258">
        <w:t>земельної</w:t>
      </w:r>
      <w:proofErr w:type="spellEnd"/>
      <w:r w:rsidRPr="00565258">
        <w:t xml:space="preserve"> </w:t>
      </w:r>
      <w:proofErr w:type="spellStart"/>
      <w:r w:rsidRPr="00565258">
        <w:t>ділянки</w:t>
      </w:r>
      <w:proofErr w:type="spellEnd"/>
      <w:r w:rsidRPr="00565258">
        <w:t xml:space="preserve"> на </w:t>
      </w:r>
      <w:r w:rsidRPr="00565258">
        <w:rPr>
          <w:lang w:val="uk-UA"/>
        </w:rPr>
        <w:t>20</w:t>
      </w:r>
      <w:r>
        <w:rPr>
          <w:lang w:val="uk-UA"/>
        </w:rPr>
        <w:t>20</w:t>
      </w:r>
      <w:r w:rsidRPr="00565258">
        <w:rPr>
          <w:lang w:val="uk-UA"/>
        </w:rPr>
        <w:t xml:space="preserve"> </w:t>
      </w:r>
      <w:proofErr w:type="spellStart"/>
      <w:r w:rsidRPr="00565258">
        <w:t>рік</w:t>
      </w:r>
      <w:proofErr w:type="spellEnd"/>
      <w:r>
        <w:rPr>
          <w:lang w:val="uk-UA"/>
        </w:rPr>
        <w:t>»</w:t>
      </w:r>
    </w:p>
    <w:p w:rsidR="004C1DD4" w:rsidRDefault="004C1DD4" w:rsidP="004C1DD4">
      <w:pPr>
        <w:pStyle w:val="a9"/>
        <w:ind w:firstLine="567"/>
        <w:rPr>
          <w:sz w:val="24"/>
        </w:rPr>
      </w:pPr>
    </w:p>
    <w:p w:rsidR="00D618B5" w:rsidRDefault="00D618B5" w:rsidP="004C1DD4">
      <w:pPr>
        <w:pStyle w:val="a9"/>
        <w:ind w:firstLine="567"/>
        <w:rPr>
          <w:sz w:val="24"/>
        </w:rPr>
      </w:pPr>
    </w:p>
    <w:p w:rsidR="00144C4F" w:rsidRDefault="00E66EB2" w:rsidP="004C1DD4">
      <w:pPr>
        <w:pStyle w:val="a9"/>
        <w:ind w:firstLine="567"/>
        <w:rPr>
          <w:sz w:val="24"/>
        </w:rPr>
      </w:pPr>
      <w:r>
        <w:rPr>
          <w:sz w:val="24"/>
        </w:rPr>
        <w:t>Керуючись п.</w:t>
      </w:r>
      <w:r w:rsidR="00144C4F">
        <w:rPr>
          <w:sz w:val="24"/>
        </w:rPr>
        <w:t xml:space="preserve"> 24 ч. 1 ст. 26 Закону України «</w:t>
      </w:r>
      <w:r w:rsidR="00144C4F" w:rsidRPr="006822FF">
        <w:rPr>
          <w:sz w:val="24"/>
        </w:rPr>
        <w:t>Про м</w:t>
      </w:r>
      <w:r w:rsidR="00144C4F">
        <w:rPr>
          <w:sz w:val="24"/>
        </w:rPr>
        <w:t>ісцеве самоврядування в Україні», ст.ст.</w:t>
      </w:r>
      <w:r w:rsidR="00144C4F" w:rsidRPr="006822FF">
        <w:rPr>
          <w:sz w:val="24"/>
        </w:rPr>
        <w:t xml:space="preserve"> 8, 10, 12, 14 та 266 Податкового кодексу України,</w:t>
      </w:r>
      <w:r w:rsidR="00144C4F" w:rsidRPr="006822FF">
        <w:rPr>
          <w:i/>
          <w:sz w:val="24"/>
        </w:rPr>
        <w:t xml:space="preserve"> </w:t>
      </w:r>
      <w:r w:rsidR="00D34F17">
        <w:rPr>
          <w:sz w:val="24"/>
        </w:rPr>
        <w:t>Постановою</w:t>
      </w:r>
      <w:r w:rsidR="00144C4F" w:rsidRPr="006822FF">
        <w:rPr>
          <w:sz w:val="24"/>
        </w:rPr>
        <w:t xml:space="preserve"> Кабінету Міністрів</w:t>
      </w:r>
      <w:r w:rsidR="00144C4F">
        <w:rPr>
          <w:sz w:val="24"/>
        </w:rPr>
        <w:t xml:space="preserve"> України  від 24 травня 2017 № 483 «</w:t>
      </w:r>
      <w:r w:rsidR="00144C4F" w:rsidRPr="006822FF">
        <w:rPr>
          <w:sz w:val="24"/>
        </w:rPr>
        <w:t>Про затвердження форм типових рішень про встановлення ставок та пільг із сплати земельного податку та податку на нерухоме майно,</w:t>
      </w:r>
      <w:r w:rsidR="00144C4F">
        <w:rPr>
          <w:sz w:val="24"/>
        </w:rPr>
        <w:t xml:space="preserve"> відмінне від земельної ділянки», </w:t>
      </w:r>
      <w:r>
        <w:rPr>
          <w:sz w:val="24"/>
        </w:rPr>
        <w:t>Законом</w:t>
      </w:r>
      <w:r w:rsidR="004C1DD4">
        <w:rPr>
          <w:sz w:val="24"/>
        </w:rPr>
        <w:t xml:space="preserve"> України «Про засади державної регуляторної політики у сфері господарської діяльності»</w:t>
      </w:r>
      <w:r w:rsidR="00144C4F" w:rsidRPr="007A4A25">
        <w:rPr>
          <w:sz w:val="24"/>
        </w:rPr>
        <w:t>, Василівська міська рада</w:t>
      </w:r>
    </w:p>
    <w:p w:rsidR="004C1DD4" w:rsidRPr="007A4A25" w:rsidRDefault="004C1DD4" w:rsidP="004C1DD4">
      <w:pPr>
        <w:pStyle w:val="a9"/>
        <w:ind w:firstLine="567"/>
        <w:rPr>
          <w:sz w:val="24"/>
        </w:rPr>
      </w:pPr>
    </w:p>
    <w:p w:rsidR="004745A4" w:rsidRDefault="00144C4F" w:rsidP="004745A4">
      <w:pPr>
        <w:rPr>
          <w:lang w:val="uk-UA"/>
        </w:rPr>
      </w:pPr>
      <w:r w:rsidRPr="007A4A25">
        <w:rPr>
          <w:lang w:val="uk-UA"/>
        </w:rPr>
        <w:t>В И Р І Ш И Л А:</w:t>
      </w:r>
    </w:p>
    <w:p w:rsidR="004745A4" w:rsidRDefault="004745A4" w:rsidP="004745A4">
      <w:pPr>
        <w:rPr>
          <w:lang w:val="uk-UA"/>
        </w:rPr>
      </w:pPr>
    </w:p>
    <w:p w:rsid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Оприлюднити проект регуляторного акту «Про встановлення ставок та пільг із сплати </w:t>
      </w:r>
      <w:r w:rsidRPr="00565258">
        <w:t xml:space="preserve"> </w:t>
      </w:r>
      <w:proofErr w:type="spellStart"/>
      <w:r w:rsidRPr="00565258">
        <w:t>податку</w:t>
      </w:r>
      <w:proofErr w:type="spellEnd"/>
      <w:r w:rsidRPr="00565258">
        <w:t xml:space="preserve"> </w:t>
      </w:r>
      <w:r>
        <w:rPr>
          <w:lang w:val="uk-UA"/>
        </w:rPr>
        <w:t xml:space="preserve"> </w:t>
      </w:r>
      <w:r w:rsidRPr="00565258">
        <w:t xml:space="preserve">на </w:t>
      </w:r>
      <w:proofErr w:type="spellStart"/>
      <w:r w:rsidRPr="00565258">
        <w:t>нерухоме</w:t>
      </w:r>
      <w:proofErr w:type="spellEnd"/>
      <w:r w:rsidRPr="00565258">
        <w:t xml:space="preserve"> </w:t>
      </w:r>
      <w:proofErr w:type="spellStart"/>
      <w:r w:rsidRPr="00565258">
        <w:t>майно</w:t>
      </w:r>
      <w:proofErr w:type="spellEnd"/>
      <w:r w:rsidRPr="00565258">
        <w:t>,</w:t>
      </w:r>
      <w:r w:rsidR="00C20D65">
        <w:t xml:space="preserve"> </w:t>
      </w:r>
      <w:proofErr w:type="spellStart"/>
      <w:r w:rsidR="00C20D65">
        <w:t>відмінне</w:t>
      </w:r>
      <w:proofErr w:type="spellEnd"/>
      <w:r w:rsidR="00C20D65">
        <w:t xml:space="preserve"> </w:t>
      </w:r>
      <w:proofErr w:type="spellStart"/>
      <w:r w:rsidR="00C20D65">
        <w:t>від</w:t>
      </w:r>
      <w:proofErr w:type="spellEnd"/>
      <w:r w:rsidR="00C20D65">
        <w:t xml:space="preserve"> </w:t>
      </w:r>
      <w:proofErr w:type="spellStart"/>
      <w:r w:rsidR="00C20D65">
        <w:t>земельної</w:t>
      </w:r>
      <w:proofErr w:type="spellEnd"/>
      <w:r w:rsidR="00C20D65">
        <w:t xml:space="preserve"> </w:t>
      </w:r>
      <w:proofErr w:type="spellStart"/>
      <w:r w:rsidR="00C20D65">
        <w:t>ділянки</w:t>
      </w:r>
      <w:proofErr w:type="spellEnd"/>
      <w:r w:rsidR="00C20D65">
        <w:rPr>
          <w:lang w:val="uk-UA"/>
        </w:rPr>
        <w:t xml:space="preserve"> </w:t>
      </w:r>
      <w:r w:rsidRPr="00565258">
        <w:t xml:space="preserve"> на </w:t>
      </w:r>
      <w:r w:rsidRPr="00565258">
        <w:rPr>
          <w:lang w:val="uk-UA"/>
        </w:rPr>
        <w:t>20</w:t>
      </w:r>
      <w:r>
        <w:rPr>
          <w:lang w:val="uk-UA"/>
        </w:rPr>
        <w:t>20</w:t>
      </w:r>
      <w:r w:rsidRPr="00565258">
        <w:rPr>
          <w:lang w:val="uk-UA"/>
        </w:rPr>
        <w:t xml:space="preserve"> </w:t>
      </w:r>
      <w:proofErr w:type="spellStart"/>
      <w:r w:rsidRPr="00565258">
        <w:t>рік</w:t>
      </w:r>
      <w:proofErr w:type="spellEnd"/>
      <w:r>
        <w:rPr>
          <w:lang w:val="uk-UA"/>
        </w:rPr>
        <w:t>».</w:t>
      </w:r>
    </w:p>
    <w:p w:rsid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>2. Відділу юридичного забезпечення та організаційної роботи виконавчого апарату Василівської міської</w:t>
      </w:r>
      <w:r w:rsidR="00C20D65">
        <w:rPr>
          <w:lang w:val="uk-UA"/>
        </w:rPr>
        <w:t xml:space="preserve"> ради</w:t>
      </w:r>
      <w:r>
        <w:rPr>
          <w:lang w:val="uk-UA"/>
        </w:rPr>
        <w:t xml:space="preserve"> довести проект рішення до відома населення шляхом розміщення на веб-сайті Василівської міської ради та розміщення оголошення про його оприлюднення в засобах масової інформації. </w:t>
      </w:r>
    </w:p>
    <w:p w:rsid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Постійній комісії </w:t>
      </w:r>
      <w:r w:rsidRPr="00F00D07">
        <w:rPr>
          <w:lang w:val="uk-UA"/>
        </w:rPr>
        <w:t xml:space="preserve">міської ради з питань </w:t>
      </w:r>
      <w:r w:rsidR="00E66EB2">
        <w:rPr>
          <w:lang w:val="uk-UA"/>
        </w:rPr>
        <w:t xml:space="preserve">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 </w:t>
      </w:r>
      <w:r>
        <w:rPr>
          <w:lang w:val="uk-UA"/>
        </w:rPr>
        <w:t xml:space="preserve"> надати експертний висновок, щодо обговорення проекту регуляторного акту.</w:t>
      </w:r>
    </w:p>
    <w:p w:rsidR="004745A4" w:rsidRP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4745A4">
        <w:rPr>
          <w:lang w:val="uk-UA"/>
        </w:rPr>
        <w:t>Контроль за виконанням даного рішення покласти на постійну комісію міської ради з питань бюджету, фінансів, планування соціально-економічного розвитку міста.</w:t>
      </w:r>
    </w:p>
    <w:p w:rsidR="004745A4" w:rsidRDefault="004745A4" w:rsidP="004745A4">
      <w:pPr>
        <w:ind w:firstLine="567"/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567EDE" w:rsidRPr="000723D3" w:rsidRDefault="00567EDE" w:rsidP="00567ED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</w:p>
    <w:p w:rsidR="00D9624A" w:rsidRPr="008C5EF6" w:rsidRDefault="008C5EF6" w:rsidP="008C5EF6">
      <w:pPr>
        <w:jc w:val="right"/>
        <w:rPr>
          <w:sz w:val="28"/>
          <w:szCs w:val="28"/>
          <w:lang w:val="uk-UA"/>
        </w:rPr>
      </w:pPr>
      <w:r w:rsidRPr="008C5EF6">
        <w:rPr>
          <w:sz w:val="28"/>
          <w:szCs w:val="28"/>
          <w:lang w:val="uk-UA"/>
        </w:rPr>
        <w:t>проект</w:t>
      </w:r>
    </w:p>
    <w:p w:rsidR="00EA1FD4" w:rsidRDefault="00EA1FD4" w:rsidP="00EA1FD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F6" w:rsidRPr="000723D3" w:rsidRDefault="008C5EF6" w:rsidP="00EA1FD4">
      <w:pPr>
        <w:jc w:val="center"/>
        <w:rPr>
          <w:sz w:val="28"/>
          <w:szCs w:val="28"/>
          <w:lang w:val="uk-UA"/>
        </w:rPr>
      </w:pPr>
    </w:p>
    <w:p w:rsidR="00EA1FD4" w:rsidRPr="008536FA" w:rsidRDefault="00EA1FD4" w:rsidP="00EA1FD4">
      <w:pPr>
        <w:jc w:val="center"/>
        <w:rPr>
          <w:b/>
          <w:bCs/>
          <w:lang w:val="uk-UA"/>
        </w:rPr>
      </w:pPr>
      <w:r w:rsidRPr="008536FA">
        <w:rPr>
          <w:b/>
          <w:bCs/>
          <w:lang w:val="uk-UA"/>
        </w:rPr>
        <w:t>У К Р А Ї Н А</w:t>
      </w:r>
    </w:p>
    <w:p w:rsidR="00EA1FD4" w:rsidRPr="000723D3" w:rsidRDefault="00EA1FD4" w:rsidP="00EA1FD4">
      <w:pPr>
        <w:jc w:val="center"/>
        <w:rPr>
          <w:b/>
          <w:bCs/>
          <w:sz w:val="28"/>
          <w:szCs w:val="28"/>
          <w:lang w:val="uk-UA"/>
        </w:rPr>
      </w:pPr>
      <w:r w:rsidRPr="000723D3">
        <w:rPr>
          <w:b/>
          <w:bCs/>
          <w:sz w:val="28"/>
          <w:szCs w:val="28"/>
          <w:lang w:val="uk-UA"/>
        </w:rPr>
        <w:t>ВАСИЛІВСЬКА МІСЬКА РАДА</w:t>
      </w:r>
    </w:p>
    <w:p w:rsidR="00EA1FD4" w:rsidRPr="00203AC7" w:rsidRDefault="00EA1FD4" w:rsidP="00EA1FD4">
      <w:pPr>
        <w:jc w:val="center"/>
        <w:rPr>
          <w:b/>
          <w:bCs/>
          <w:sz w:val="28"/>
          <w:szCs w:val="28"/>
          <w:lang w:val="uk-UA"/>
        </w:rPr>
      </w:pPr>
      <w:r w:rsidRPr="00203AC7">
        <w:rPr>
          <w:b/>
          <w:bCs/>
          <w:sz w:val="28"/>
          <w:szCs w:val="28"/>
          <w:lang w:val="uk-UA"/>
        </w:rPr>
        <w:t>ЗАПОРІЗЬКОЇ ОБЛАСТІ</w:t>
      </w:r>
    </w:p>
    <w:p w:rsidR="00EA1FD4" w:rsidRPr="00203AC7" w:rsidRDefault="00EA1FD4" w:rsidP="00EA1FD4">
      <w:pPr>
        <w:jc w:val="center"/>
        <w:rPr>
          <w:b/>
          <w:bCs/>
          <w:sz w:val="28"/>
          <w:szCs w:val="28"/>
          <w:lang w:val="uk-UA"/>
        </w:rPr>
      </w:pPr>
      <w:r w:rsidRPr="00203AC7">
        <w:rPr>
          <w:b/>
          <w:bCs/>
          <w:sz w:val="28"/>
          <w:szCs w:val="28"/>
          <w:lang w:val="uk-UA"/>
        </w:rPr>
        <w:t>сьомого скликання</w:t>
      </w:r>
    </w:p>
    <w:p w:rsidR="00EA1FD4" w:rsidRDefault="00EA1FD4" w:rsidP="00EA1FD4">
      <w:pPr>
        <w:jc w:val="center"/>
        <w:rPr>
          <w:b/>
          <w:bCs/>
          <w:sz w:val="28"/>
          <w:szCs w:val="28"/>
          <w:lang w:val="uk-UA"/>
        </w:rPr>
      </w:pPr>
    </w:p>
    <w:p w:rsidR="008C5EF6" w:rsidRPr="000723D3" w:rsidRDefault="00EA1FD4" w:rsidP="008C5EF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723D3">
        <w:rPr>
          <w:b/>
          <w:bCs/>
          <w:sz w:val="28"/>
          <w:szCs w:val="28"/>
          <w:lang w:val="uk-UA"/>
        </w:rPr>
        <w:t xml:space="preserve">Р </w:t>
      </w:r>
      <w:r>
        <w:rPr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</w:t>
      </w:r>
    </w:p>
    <w:p w:rsidR="008C5EF6" w:rsidRDefault="008C5EF6" w:rsidP="00EA1FD4">
      <w:pPr>
        <w:rPr>
          <w:lang w:val="uk-UA"/>
        </w:rPr>
      </w:pPr>
    </w:p>
    <w:p w:rsidR="00EA1FD4" w:rsidRDefault="008C5EF6" w:rsidP="00EA1FD4">
      <w:pPr>
        <w:rPr>
          <w:lang w:val="uk-UA"/>
        </w:rPr>
      </w:pPr>
      <w:r>
        <w:rPr>
          <w:lang w:val="uk-UA"/>
        </w:rPr>
        <w:t>___________________</w:t>
      </w:r>
      <w:r w:rsidR="00EA1FD4">
        <w:rPr>
          <w:lang w:val="uk-UA"/>
        </w:rPr>
        <w:t xml:space="preserve">  </w:t>
      </w:r>
      <w:r w:rsidR="00EA1FD4" w:rsidRPr="00122AB8">
        <w:rPr>
          <w:lang w:val="uk-UA"/>
        </w:rPr>
        <w:t xml:space="preserve">                                                                                                        № </w:t>
      </w:r>
      <w:r w:rsidR="00EA1FD4">
        <w:rPr>
          <w:lang w:val="uk-UA"/>
        </w:rPr>
        <w:t xml:space="preserve"> ____</w:t>
      </w:r>
    </w:p>
    <w:p w:rsidR="00EA1FD4" w:rsidRDefault="00EA1FD4" w:rsidP="00EA1FD4">
      <w:pPr>
        <w:rPr>
          <w:bCs/>
          <w:lang w:val="uk-UA"/>
        </w:rPr>
      </w:pPr>
    </w:p>
    <w:p w:rsidR="00EA1FD4" w:rsidRPr="00565258" w:rsidRDefault="00EA1FD4" w:rsidP="00EA1FD4">
      <w:pPr>
        <w:rPr>
          <w:lang w:val="uk-UA"/>
        </w:rPr>
      </w:pPr>
      <w:r>
        <w:rPr>
          <w:bCs/>
          <w:lang w:val="uk-UA"/>
        </w:rPr>
        <w:t xml:space="preserve"> </w:t>
      </w:r>
      <w:r w:rsidRPr="00565258">
        <w:rPr>
          <w:bCs/>
          <w:lang w:val="uk-UA"/>
        </w:rPr>
        <w:t>П</w:t>
      </w:r>
      <w:proofErr w:type="spellStart"/>
      <w:r w:rsidRPr="00565258">
        <w:t>ро</w:t>
      </w:r>
      <w:proofErr w:type="spellEnd"/>
      <w:r w:rsidRPr="00565258">
        <w:t xml:space="preserve"> </w:t>
      </w:r>
      <w:proofErr w:type="spellStart"/>
      <w:r w:rsidRPr="00565258">
        <w:t>встановлення</w:t>
      </w:r>
      <w:proofErr w:type="spellEnd"/>
      <w:r w:rsidRPr="00565258">
        <w:t xml:space="preserve"> ставок та </w:t>
      </w:r>
      <w:proofErr w:type="spellStart"/>
      <w:r w:rsidRPr="00565258">
        <w:t>пільг</w:t>
      </w:r>
      <w:proofErr w:type="spellEnd"/>
      <w:r w:rsidRPr="00565258">
        <w:t xml:space="preserve"> </w:t>
      </w:r>
      <w:proofErr w:type="spellStart"/>
      <w:r w:rsidRPr="00565258">
        <w:t>із</w:t>
      </w:r>
      <w:proofErr w:type="spellEnd"/>
      <w:r w:rsidRPr="00565258">
        <w:t xml:space="preserve"> </w:t>
      </w:r>
      <w:proofErr w:type="spellStart"/>
      <w:r w:rsidRPr="00565258">
        <w:t>сплати</w:t>
      </w:r>
      <w:proofErr w:type="spellEnd"/>
      <w:r w:rsidRPr="00565258">
        <w:t xml:space="preserve"> </w:t>
      </w:r>
      <w:proofErr w:type="spellStart"/>
      <w:r w:rsidRPr="00565258">
        <w:t>податку</w:t>
      </w:r>
      <w:proofErr w:type="spellEnd"/>
      <w:r w:rsidRPr="00565258">
        <w:t xml:space="preserve"> </w:t>
      </w:r>
    </w:p>
    <w:p w:rsidR="00EA1FD4" w:rsidRPr="00565258" w:rsidRDefault="00EA1FD4" w:rsidP="00EA1FD4">
      <w:pPr>
        <w:rPr>
          <w:lang w:val="uk-UA"/>
        </w:rPr>
      </w:pPr>
      <w:r>
        <w:rPr>
          <w:lang w:val="uk-UA"/>
        </w:rPr>
        <w:t xml:space="preserve"> </w:t>
      </w:r>
      <w:r w:rsidRPr="00565258">
        <w:t xml:space="preserve">на </w:t>
      </w:r>
      <w:proofErr w:type="spellStart"/>
      <w:r w:rsidRPr="00565258">
        <w:t>нерухоме</w:t>
      </w:r>
      <w:proofErr w:type="spellEnd"/>
      <w:r w:rsidRPr="00565258">
        <w:t xml:space="preserve"> </w:t>
      </w:r>
      <w:proofErr w:type="spellStart"/>
      <w:r w:rsidRPr="00565258">
        <w:t>майно</w:t>
      </w:r>
      <w:proofErr w:type="spellEnd"/>
      <w:r w:rsidRPr="00565258">
        <w:t xml:space="preserve">, </w:t>
      </w:r>
      <w:proofErr w:type="spellStart"/>
      <w:r w:rsidRPr="00565258">
        <w:t>відмінне</w:t>
      </w:r>
      <w:proofErr w:type="spellEnd"/>
      <w:r w:rsidRPr="00565258">
        <w:t xml:space="preserve"> </w:t>
      </w:r>
      <w:proofErr w:type="spellStart"/>
      <w:r w:rsidRPr="00565258">
        <w:t>від</w:t>
      </w:r>
      <w:proofErr w:type="spellEnd"/>
      <w:r w:rsidRPr="00565258">
        <w:t xml:space="preserve"> </w:t>
      </w:r>
      <w:proofErr w:type="spellStart"/>
      <w:r w:rsidRPr="00565258">
        <w:t>земельної</w:t>
      </w:r>
      <w:proofErr w:type="spellEnd"/>
      <w:r w:rsidRPr="00565258">
        <w:t xml:space="preserve"> </w:t>
      </w:r>
      <w:proofErr w:type="spellStart"/>
      <w:r w:rsidRPr="00565258">
        <w:t>ділянки</w:t>
      </w:r>
      <w:proofErr w:type="spellEnd"/>
      <w:r w:rsidRPr="00565258">
        <w:t xml:space="preserve">, на </w:t>
      </w:r>
      <w:r>
        <w:rPr>
          <w:lang w:val="uk-UA"/>
        </w:rPr>
        <w:t>2020</w:t>
      </w:r>
      <w:r w:rsidRPr="00565258">
        <w:rPr>
          <w:lang w:val="uk-UA"/>
        </w:rPr>
        <w:t xml:space="preserve"> </w:t>
      </w:r>
      <w:proofErr w:type="spellStart"/>
      <w:proofErr w:type="gramStart"/>
      <w:r w:rsidRPr="00565258">
        <w:t>р</w:t>
      </w:r>
      <w:proofErr w:type="gramEnd"/>
      <w:r w:rsidRPr="00565258">
        <w:t>ік</w:t>
      </w:r>
      <w:proofErr w:type="spellEnd"/>
    </w:p>
    <w:p w:rsidR="00EA1FD4" w:rsidRDefault="00EA1FD4" w:rsidP="00EA1FD4">
      <w:pPr>
        <w:pStyle w:val="a9"/>
        <w:ind w:firstLine="567"/>
        <w:rPr>
          <w:sz w:val="24"/>
        </w:rPr>
      </w:pPr>
    </w:p>
    <w:p w:rsidR="00EA1FD4" w:rsidRDefault="0023395F" w:rsidP="00EA1FD4">
      <w:pPr>
        <w:pStyle w:val="a9"/>
        <w:ind w:firstLine="567"/>
        <w:rPr>
          <w:sz w:val="24"/>
        </w:rPr>
      </w:pPr>
      <w:r>
        <w:rPr>
          <w:sz w:val="24"/>
        </w:rPr>
        <w:t>Керуючись п.</w:t>
      </w:r>
      <w:r w:rsidR="00EA1FD4">
        <w:rPr>
          <w:sz w:val="24"/>
        </w:rPr>
        <w:t xml:space="preserve"> 24 ч. 1 ст. 26 Закону України «</w:t>
      </w:r>
      <w:r w:rsidR="00EA1FD4" w:rsidRPr="006822FF">
        <w:rPr>
          <w:sz w:val="24"/>
        </w:rPr>
        <w:t>Про м</w:t>
      </w:r>
      <w:r w:rsidR="00EA1FD4">
        <w:rPr>
          <w:sz w:val="24"/>
        </w:rPr>
        <w:t>ісцеве самоврядування в Україні», ст.ст.</w:t>
      </w:r>
      <w:r w:rsidR="00EA1FD4" w:rsidRPr="006822FF">
        <w:rPr>
          <w:sz w:val="24"/>
        </w:rPr>
        <w:t xml:space="preserve"> 8, 10, 12, 14 та 266 Податкового кодексу України,</w:t>
      </w:r>
      <w:r w:rsidR="00EA1FD4" w:rsidRPr="006822FF">
        <w:rPr>
          <w:i/>
          <w:sz w:val="24"/>
        </w:rPr>
        <w:t xml:space="preserve"> </w:t>
      </w:r>
      <w:r w:rsidR="000C4319">
        <w:rPr>
          <w:sz w:val="24"/>
        </w:rPr>
        <w:t>Постановою</w:t>
      </w:r>
      <w:r w:rsidR="00EA1FD4" w:rsidRPr="006822FF">
        <w:rPr>
          <w:sz w:val="24"/>
        </w:rPr>
        <w:t xml:space="preserve"> Кабінету Міністрів</w:t>
      </w:r>
      <w:r w:rsidR="00EA1FD4">
        <w:rPr>
          <w:sz w:val="24"/>
        </w:rPr>
        <w:t xml:space="preserve"> України  від 24 травня 2017 № 483 «</w:t>
      </w:r>
      <w:r w:rsidR="00EA1FD4" w:rsidRPr="006822FF">
        <w:rPr>
          <w:sz w:val="24"/>
        </w:rPr>
        <w:t>Про затвердження форм типових рішень про встановлення ставок та пільг із сплати земельного податку та податку на нерухоме майно,</w:t>
      </w:r>
      <w:r w:rsidR="00EA1FD4">
        <w:rPr>
          <w:sz w:val="24"/>
        </w:rPr>
        <w:t xml:space="preserve"> відмінне від земельної ділянки»</w:t>
      </w:r>
      <w:r w:rsidR="00C20D65">
        <w:rPr>
          <w:sz w:val="24"/>
        </w:rPr>
        <w:t>,</w:t>
      </w:r>
      <w:r w:rsidR="00C20D65" w:rsidRPr="00C20D65">
        <w:rPr>
          <w:sz w:val="24"/>
        </w:rPr>
        <w:t xml:space="preserve"> </w:t>
      </w:r>
      <w:r>
        <w:rPr>
          <w:sz w:val="24"/>
        </w:rPr>
        <w:t>Законом</w:t>
      </w:r>
      <w:r w:rsidR="00C20D65">
        <w:rPr>
          <w:sz w:val="24"/>
        </w:rPr>
        <w:t xml:space="preserve"> України «Про засади державної регуляторної політики у сфері господарської діяльності»</w:t>
      </w:r>
      <w:r w:rsidR="00EA1FD4">
        <w:rPr>
          <w:sz w:val="24"/>
        </w:rPr>
        <w:t xml:space="preserve">, </w:t>
      </w:r>
      <w:r w:rsidR="00EA1FD4" w:rsidRPr="007A4A25">
        <w:rPr>
          <w:sz w:val="24"/>
        </w:rPr>
        <w:t xml:space="preserve">  Василівська міська рада</w:t>
      </w:r>
    </w:p>
    <w:p w:rsidR="00EA1FD4" w:rsidRPr="007A4A25" w:rsidRDefault="00EA1FD4" w:rsidP="00EA1FD4">
      <w:pPr>
        <w:pStyle w:val="a9"/>
        <w:ind w:firstLine="567"/>
        <w:rPr>
          <w:sz w:val="24"/>
        </w:rPr>
      </w:pPr>
    </w:p>
    <w:p w:rsidR="00EA1FD4" w:rsidRDefault="00EA1FD4" w:rsidP="00EA1FD4">
      <w:pPr>
        <w:rPr>
          <w:lang w:val="uk-UA"/>
        </w:rPr>
      </w:pPr>
      <w:r w:rsidRPr="007A4A25">
        <w:rPr>
          <w:lang w:val="uk-UA"/>
        </w:rPr>
        <w:t>В И Р І Ш И Л А:</w:t>
      </w:r>
    </w:p>
    <w:p w:rsidR="00C20D65" w:rsidRPr="007A4A25" w:rsidRDefault="00C20D65" w:rsidP="00EA1FD4">
      <w:pPr>
        <w:rPr>
          <w:lang w:val="uk-UA"/>
        </w:rPr>
      </w:pPr>
    </w:p>
    <w:p w:rsidR="00EA1FD4" w:rsidRPr="005403C9" w:rsidRDefault="00EA1FD4" w:rsidP="008C5EF6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3C9">
        <w:rPr>
          <w:rFonts w:ascii="Times New Roman" w:hAnsi="Times New Roman" w:cs="Times New Roman"/>
          <w:sz w:val="24"/>
          <w:szCs w:val="24"/>
          <w:lang w:val="uk-UA"/>
        </w:rPr>
        <w:t>Встановити на території Василівської міської ради:</w:t>
      </w:r>
    </w:p>
    <w:p w:rsidR="00EA1FD4" w:rsidRDefault="00EA1FD4" w:rsidP="008C5EF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2FF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на нерухоме майно, відмінне від земельної ділянки, згідно з додатком 1;</w:t>
      </w:r>
    </w:p>
    <w:p w:rsidR="00EA1FD4" w:rsidRPr="006822FF" w:rsidRDefault="00EA1FD4" w:rsidP="008C5EF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2FF">
        <w:rPr>
          <w:rFonts w:ascii="Times New Roman" w:hAnsi="Times New Roman" w:cs="Times New Roman"/>
          <w:sz w:val="24"/>
          <w:szCs w:val="24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EA1FD4" w:rsidRDefault="00EA1FD4" w:rsidP="008C5EF6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11862">
        <w:rPr>
          <w:rFonts w:ascii="Times New Roman" w:hAnsi="Times New Roman"/>
          <w:sz w:val="24"/>
          <w:szCs w:val="24"/>
          <w:lang w:val="uk-UA"/>
        </w:rPr>
        <w:t>Дане рішення ввести в дію з 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118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січня</w:t>
      </w:r>
      <w:r w:rsidRPr="00A11862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A11862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EA1FD4" w:rsidRPr="008C5EF6" w:rsidRDefault="008C5EF6" w:rsidP="008C5EF6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EA1FD4" w:rsidRPr="008C5EF6">
        <w:rPr>
          <w:lang w:val="uk-UA"/>
        </w:rPr>
        <w:t>Контроль за виконанням даного рішення покласти на постійну комісію міської ради з питань бюджету, фінансів, планування соціально-економічного розвитку міста</w:t>
      </w:r>
    </w:p>
    <w:p w:rsidR="00EA1FD4" w:rsidRDefault="00EA1FD4" w:rsidP="00C20D65">
      <w:pPr>
        <w:spacing w:line="276" w:lineRule="auto"/>
        <w:jc w:val="both"/>
        <w:rPr>
          <w:lang w:val="uk-UA"/>
        </w:rPr>
      </w:pPr>
    </w:p>
    <w:p w:rsidR="00EA1FD4" w:rsidRDefault="00EA1FD4" w:rsidP="00EA1FD4">
      <w:pPr>
        <w:jc w:val="both"/>
        <w:rPr>
          <w:lang w:val="uk-UA"/>
        </w:rPr>
      </w:pPr>
    </w:p>
    <w:p w:rsidR="00EA1FD4" w:rsidRDefault="00EA1FD4" w:rsidP="00EA1FD4">
      <w:pPr>
        <w:ind w:firstLine="567"/>
        <w:rPr>
          <w:lang w:val="uk-UA"/>
        </w:rPr>
      </w:pPr>
    </w:p>
    <w:p w:rsidR="00EA1FD4" w:rsidRPr="00B53AAD" w:rsidRDefault="00EA1FD4" w:rsidP="00EA1FD4">
      <w:pPr>
        <w:jc w:val="both"/>
        <w:rPr>
          <w:lang w:val="uk-UA"/>
        </w:rPr>
      </w:pPr>
      <w:r w:rsidRPr="00122AB8">
        <w:rPr>
          <w:lang w:val="uk-UA"/>
        </w:rPr>
        <w:t xml:space="preserve">Міський голова                                                </w:t>
      </w:r>
      <w:r>
        <w:rPr>
          <w:lang w:val="uk-UA"/>
        </w:rPr>
        <w:t xml:space="preserve">                                </w:t>
      </w:r>
      <w:r w:rsidRPr="00122AB8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8C5EF6">
        <w:rPr>
          <w:lang w:val="uk-UA"/>
        </w:rPr>
        <w:t xml:space="preserve">            </w:t>
      </w:r>
      <w:r>
        <w:rPr>
          <w:lang w:val="uk-UA"/>
        </w:rPr>
        <w:t xml:space="preserve"> </w:t>
      </w:r>
      <w:r w:rsidRPr="00122AB8">
        <w:rPr>
          <w:lang w:val="uk-UA"/>
        </w:rPr>
        <w:t xml:space="preserve"> Л.М. Цибуль</w:t>
      </w:r>
      <w:r>
        <w:rPr>
          <w:lang w:val="uk-UA"/>
        </w:rPr>
        <w:t>няк</w:t>
      </w: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4745A4" w:rsidRPr="007A4A25" w:rsidRDefault="004745A4" w:rsidP="00144C4F">
      <w:pPr>
        <w:rPr>
          <w:lang w:val="uk-UA"/>
        </w:rPr>
      </w:pPr>
    </w:p>
    <w:p w:rsidR="00E50BAF" w:rsidRPr="00554F73" w:rsidRDefault="00E50BAF" w:rsidP="00E50BAF">
      <w:pPr>
        <w:ind w:firstLine="6237"/>
        <w:rPr>
          <w:lang w:val="uk-UA"/>
        </w:rPr>
      </w:pPr>
      <w:r>
        <w:rPr>
          <w:lang w:val="uk-UA"/>
        </w:rPr>
        <w:t>Додаток 1</w:t>
      </w:r>
    </w:p>
    <w:p w:rsidR="00E50BAF" w:rsidRPr="00554F73" w:rsidRDefault="00E50BAF" w:rsidP="00E50BAF">
      <w:pPr>
        <w:ind w:firstLine="6237"/>
        <w:rPr>
          <w:lang w:val="uk-UA"/>
        </w:rPr>
      </w:pPr>
      <w:r w:rsidRPr="00554F73">
        <w:rPr>
          <w:lang w:val="uk-UA"/>
        </w:rPr>
        <w:t xml:space="preserve"> </w:t>
      </w:r>
    </w:p>
    <w:p w:rsidR="00E50BAF" w:rsidRPr="00554F73" w:rsidRDefault="00E50BAF" w:rsidP="00E50BAF">
      <w:pPr>
        <w:ind w:firstLine="6237"/>
        <w:rPr>
          <w:lang w:val="uk-UA"/>
        </w:rPr>
      </w:pPr>
      <w:r>
        <w:rPr>
          <w:lang w:val="uk-UA"/>
        </w:rPr>
        <w:t xml:space="preserve">до рішення  </w:t>
      </w:r>
      <w:r w:rsidRPr="00451EE4">
        <w:rPr>
          <w:lang w:val="uk-UA"/>
        </w:rPr>
        <w:t>сесії</w:t>
      </w:r>
    </w:p>
    <w:p w:rsidR="00E50BAF" w:rsidRPr="00554F73" w:rsidRDefault="00E50BAF" w:rsidP="00E50BAF">
      <w:pPr>
        <w:ind w:firstLine="6237"/>
        <w:rPr>
          <w:lang w:val="uk-UA"/>
        </w:rPr>
      </w:pPr>
      <w:r w:rsidRPr="00554F73">
        <w:rPr>
          <w:lang w:val="uk-UA"/>
        </w:rPr>
        <w:t>Василівської міської ради</w:t>
      </w:r>
    </w:p>
    <w:p w:rsidR="00E50BAF" w:rsidRPr="00554F73" w:rsidRDefault="00E50BAF" w:rsidP="00E50BAF">
      <w:pPr>
        <w:ind w:firstLine="6237"/>
        <w:rPr>
          <w:lang w:val="uk-UA"/>
        </w:rPr>
      </w:pPr>
      <w:r w:rsidRPr="00554F73">
        <w:rPr>
          <w:lang w:val="uk-UA"/>
        </w:rPr>
        <w:t xml:space="preserve">сьомого скликання                                                                                                                                                                                                                              </w:t>
      </w:r>
    </w:p>
    <w:p w:rsidR="00E50BAF" w:rsidRDefault="00DA7C0B" w:rsidP="00DA7C0B">
      <w:pPr>
        <w:ind w:firstLine="6237"/>
        <w:rPr>
          <w:lang w:val="uk-UA"/>
        </w:rPr>
      </w:pPr>
      <w:r>
        <w:rPr>
          <w:lang w:val="uk-UA"/>
        </w:rPr>
        <w:t>____________</w:t>
      </w:r>
      <w:r w:rsidR="00E50BAF">
        <w:rPr>
          <w:lang w:val="uk-UA"/>
        </w:rPr>
        <w:t xml:space="preserve"> </w:t>
      </w:r>
      <w:r w:rsidR="00E50BAF" w:rsidRPr="00451EE4">
        <w:rPr>
          <w:lang w:val="uk-UA"/>
        </w:rPr>
        <w:t>201</w:t>
      </w:r>
      <w:r>
        <w:rPr>
          <w:lang w:val="uk-UA"/>
        </w:rPr>
        <w:t>9</w:t>
      </w:r>
      <w:r w:rsidR="00E50BAF" w:rsidRPr="00451EE4">
        <w:rPr>
          <w:lang w:val="uk-UA"/>
        </w:rPr>
        <w:t xml:space="preserve"> р. №  </w:t>
      </w:r>
      <w:r>
        <w:rPr>
          <w:lang w:val="uk-UA"/>
        </w:rPr>
        <w:t>___</w:t>
      </w:r>
    </w:p>
    <w:p w:rsidR="00E50BAF" w:rsidRPr="00F11881" w:rsidRDefault="00E50BAF" w:rsidP="00E50BAF">
      <w:pPr>
        <w:pStyle w:val="ad"/>
        <w:spacing w:before="120"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br/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E50BAF" w:rsidRPr="00DC0CDF" w:rsidRDefault="00E50BAF" w:rsidP="00E50BAF">
      <w:pPr>
        <w:pStyle w:val="ac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0CDF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20</w:t>
      </w:r>
      <w:r w:rsidR="00833AA2">
        <w:rPr>
          <w:rFonts w:ascii="Times New Roman" w:hAnsi="Times New Roman"/>
          <w:noProof/>
          <w:sz w:val="24"/>
          <w:szCs w:val="24"/>
          <w:lang w:val="ru-RU"/>
        </w:rPr>
        <w:t>20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C0CDF">
        <w:rPr>
          <w:rFonts w:ascii="Times New Roman" w:hAnsi="Times New Roman"/>
          <w:noProof/>
          <w:sz w:val="24"/>
          <w:szCs w:val="24"/>
          <w:lang w:val="ru-RU"/>
        </w:rPr>
        <w:t xml:space="preserve">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01 січня </w:t>
      </w:r>
      <w:r w:rsidRPr="00DC0CDF">
        <w:rPr>
          <w:rFonts w:ascii="Times New Roman" w:hAnsi="Times New Roman"/>
          <w:noProof/>
          <w:sz w:val="24"/>
          <w:szCs w:val="24"/>
          <w:lang w:val="ru-RU"/>
        </w:rPr>
        <w:t>20</w:t>
      </w:r>
      <w:r w:rsidR="00DA7C0B">
        <w:rPr>
          <w:rFonts w:ascii="Times New Roman" w:hAnsi="Times New Roman"/>
          <w:noProof/>
          <w:sz w:val="24"/>
          <w:szCs w:val="24"/>
          <w:lang w:val="ru-RU"/>
        </w:rPr>
        <w:t>20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C0CDF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E50BAF" w:rsidRPr="00DC0CDF" w:rsidRDefault="00E50BAF" w:rsidP="00E50BAF">
      <w:pPr>
        <w:pStyle w:val="ac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0CDF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842"/>
        <w:gridCol w:w="2552"/>
        <w:gridCol w:w="4536"/>
      </w:tblGrid>
      <w:tr w:rsidR="00E50BAF" w:rsidRPr="00DC0CDF" w:rsidTr="00B04B0A">
        <w:trPr>
          <w:trHeight w:val="810"/>
        </w:trPr>
        <w:tc>
          <w:tcPr>
            <w:tcW w:w="993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84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536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E50BAF" w:rsidRPr="00DC0CDF" w:rsidTr="00B04B0A">
        <w:trPr>
          <w:trHeight w:val="810"/>
        </w:trPr>
        <w:tc>
          <w:tcPr>
            <w:tcW w:w="993" w:type="dxa"/>
            <w:vAlign w:val="center"/>
            <w:hideMark/>
          </w:tcPr>
          <w:p w:rsidR="00E50BAF" w:rsidRPr="000155D7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center"/>
            <w:hideMark/>
          </w:tcPr>
          <w:p w:rsidR="00E50BAF" w:rsidRPr="000155D7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</w:rPr>
              <w:t>2320910100</w:t>
            </w:r>
          </w:p>
        </w:tc>
        <w:tc>
          <w:tcPr>
            <w:tcW w:w="4536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Василівська міська рада Запорізької області</w:t>
            </w:r>
          </w:p>
        </w:tc>
      </w:tr>
    </w:tbl>
    <w:p w:rsidR="00E50BAF" w:rsidRPr="00DC0CDF" w:rsidRDefault="00E50BAF" w:rsidP="00E50BAF">
      <w:pPr>
        <w:widowControl w:val="0"/>
        <w:rPr>
          <w:noProof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7"/>
        <w:gridCol w:w="5175"/>
        <w:gridCol w:w="689"/>
        <w:gridCol w:w="677"/>
        <w:gridCol w:w="705"/>
        <w:gridCol w:w="723"/>
        <w:gridCol w:w="633"/>
        <w:gridCol w:w="661"/>
      </w:tblGrid>
      <w:tr w:rsidR="00E50BAF" w:rsidRPr="00DC0CDF" w:rsidTr="00E50BAF">
        <w:trPr>
          <w:trHeight w:val="20"/>
          <w:tblHeader/>
        </w:trPr>
        <w:tc>
          <w:tcPr>
            <w:tcW w:w="2959" w:type="pct"/>
            <w:gridSpan w:val="2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41" w:type="pct"/>
            <w:gridSpan w:val="6"/>
            <w:vAlign w:val="center"/>
            <w:hideMark/>
          </w:tcPr>
          <w:p w:rsidR="00E50BAF" w:rsidRPr="00DC0CDF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E50BAF" w:rsidRPr="00E1757E" w:rsidTr="00E50BAF">
        <w:trPr>
          <w:trHeight w:val="20"/>
          <w:tblHeader/>
        </w:trPr>
        <w:tc>
          <w:tcPr>
            <w:tcW w:w="377" w:type="pct"/>
            <w:vMerge w:val="restar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2" w:type="pct"/>
            <w:vMerge w:val="restar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4" w:type="pct"/>
            <w:gridSpan w:val="3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07" w:type="pct"/>
            <w:gridSpan w:val="3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E50BAF" w:rsidRPr="00E1757E" w:rsidTr="00E50BAF">
        <w:trPr>
          <w:trHeight w:val="20"/>
          <w:tblHeader/>
        </w:trPr>
        <w:tc>
          <w:tcPr>
            <w:tcW w:w="377" w:type="pct"/>
            <w:vMerge/>
            <w:vAlign w:val="center"/>
          </w:tcPr>
          <w:p w:rsidR="00E50BAF" w:rsidRPr="00E1757E" w:rsidRDefault="00E50BAF" w:rsidP="00E50BAF">
            <w:pPr>
              <w:pStyle w:val="ac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Merge/>
            <w:vAlign w:val="center"/>
          </w:tcPr>
          <w:p w:rsidR="00E50BAF" w:rsidRPr="00E1757E" w:rsidRDefault="00E50BAF" w:rsidP="00E50BAF">
            <w:pPr>
              <w:pStyle w:val="ac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0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D23A1E" w:rsidRDefault="00E50BAF" w:rsidP="00E50BAF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23A1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E1757E" w:rsidRDefault="00E50BAF" w:rsidP="00E50BAF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E1757E" w:rsidRDefault="00E50BAF" w:rsidP="00E50BAF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E60F5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A912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21E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A912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21E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8D4F0B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4F0B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Гуртожитки</w:t>
            </w: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8D4F0B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4F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A542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A3215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23A1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23" w:type="pct"/>
            <w:gridSpan w:val="7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9C6232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E50BAF" w:rsidRPr="00DC0CDF" w:rsidRDefault="00E50BAF" w:rsidP="00E50BAF">
      <w:pPr>
        <w:pStyle w:val="a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04F42" w:rsidRPr="00DC0CDF" w:rsidRDefault="00D04F42" w:rsidP="00D04F42">
      <w:pPr>
        <w:pStyle w:val="a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0CDF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D04F42" w:rsidRPr="00F11881" w:rsidRDefault="00D04F42" w:rsidP="00D04F42">
      <w:pPr>
        <w:pStyle w:val="ac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D04F42" w:rsidRPr="00F11881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D04F42" w:rsidRPr="00F11881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04F42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</w:t>
      </w:r>
    </w:p>
    <w:p w:rsidR="00D04F42" w:rsidRPr="00F11881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proofErr w:type="gramStart"/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5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proofErr w:type="gramEnd"/>
    </w:p>
    <w:p w:rsidR="00D04F42" w:rsidRDefault="00D04F42" w:rsidP="00D04F42">
      <w:pPr>
        <w:rPr>
          <w:lang w:val="uk-UA"/>
        </w:rPr>
      </w:pPr>
    </w:p>
    <w:p w:rsidR="00D04F42" w:rsidRDefault="00D04F42" w:rsidP="00D04F42">
      <w:pPr>
        <w:rPr>
          <w:lang w:val="uk-UA"/>
        </w:rPr>
      </w:pPr>
    </w:p>
    <w:p w:rsidR="00D04F42" w:rsidRDefault="00D04F42" w:rsidP="00D04F42">
      <w:pPr>
        <w:rPr>
          <w:lang w:val="uk-UA"/>
        </w:rPr>
      </w:pPr>
    </w:p>
    <w:p w:rsidR="00D04F42" w:rsidRPr="00F11881" w:rsidRDefault="00D04F42" w:rsidP="00D04F42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О.Г.Мандичев</w:t>
      </w:r>
    </w:p>
    <w:p w:rsidR="00E50BAF" w:rsidRDefault="00E50BAF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DA7C0B" w:rsidRPr="00554F73" w:rsidRDefault="00DA7C0B" w:rsidP="00DA7C0B">
      <w:pPr>
        <w:ind w:firstLine="6237"/>
        <w:rPr>
          <w:lang w:val="uk-UA"/>
        </w:rPr>
      </w:pPr>
      <w:r>
        <w:rPr>
          <w:lang w:val="uk-UA"/>
        </w:rPr>
        <w:t>Додаток 2</w:t>
      </w:r>
    </w:p>
    <w:p w:rsidR="00DA7C0B" w:rsidRPr="00554F73" w:rsidRDefault="00DA7C0B" w:rsidP="00DA7C0B">
      <w:pPr>
        <w:ind w:firstLine="6237"/>
        <w:rPr>
          <w:lang w:val="uk-UA"/>
        </w:rPr>
      </w:pPr>
      <w:r w:rsidRPr="00554F73">
        <w:rPr>
          <w:lang w:val="uk-UA"/>
        </w:rPr>
        <w:t xml:space="preserve"> </w:t>
      </w:r>
    </w:p>
    <w:p w:rsidR="00DA7C0B" w:rsidRPr="00554F73" w:rsidRDefault="00DA7C0B" w:rsidP="00DA7C0B">
      <w:pPr>
        <w:ind w:firstLine="6237"/>
        <w:rPr>
          <w:lang w:val="uk-UA"/>
        </w:rPr>
      </w:pPr>
      <w:r>
        <w:rPr>
          <w:lang w:val="uk-UA"/>
        </w:rPr>
        <w:t xml:space="preserve"> до рішення  </w:t>
      </w:r>
      <w:r w:rsidRPr="00451EE4">
        <w:rPr>
          <w:lang w:val="uk-UA"/>
        </w:rPr>
        <w:t>сесії</w:t>
      </w:r>
    </w:p>
    <w:p w:rsidR="00DA7C0B" w:rsidRPr="00554F73" w:rsidRDefault="00DA7C0B" w:rsidP="00DA7C0B">
      <w:pPr>
        <w:ind w:firstLine="6237"/>
        <w:rPr>
          <w:lang w:val="uk-UA"/>
        </w:rPr>
      </w:pPr>
      <w:r w:rsidRPr="00554F73">
        <w:rPr>
          <w:lang w:val="uk-UA"/>
        </w:rPr>
        <w:t>Василівської міської ради</w:t>
      </w:r>
    </w:p>
    <w:p w:rsidR="00DA7C0B" w:rsidRPr="00554F73" w:rsidRDefault="00DA7C0B" w:rsidP="00DA7C0B">
      <w:pPr>
        <w:ind w:firstLine="6237"/>
        <w:rPr>
          <w:lang w:val="uk-UA"/>
        </w:rPr>
      </w:pPr>
      <w:r w:rsidRPr="00554F73">
        <w:rPr>
          <w:lang w:val="uk-UA"/>
        </w:rPr>
        <w:t xml:space="preserve">сьомого скликання                                                                                                                                                                                                                              </w:t>
      </w:r>
    </w:p>
    <w:p w:rsidR="00DA7C0B" w:rsidRDefault="00DA7C0B" w:rsidP="00DA7C0B">
      <w:pPr>
        <w:ind w:firstLine="6237"/>
        <w:rPr>
          <w:lang w:val="uk-UA"/>
        </w:rPr>
      </w:pPr>
      <w:r>
        <w:rPr>
          <w:lang w:val="uk-UA"/>
        </w:rPr>
        <w:t xml:space="preserve">____________ </w:t>
      </w:r>
      <w:r w:rsidRPr="00451EE4">
        <w:rPr>
          <w:lang w:val="uk-UA"/>
        </w:rPr>
        <w:t>201</w:t>
      </w:r>
      <w:r>
        <w:rPr>
          <w:lang w:val="uk-UA"/>
        </w:rPr>
        <w:t>9</w:t>
      </w:r>
      <w:r w:rsidRPr="00451EE4">
        <w:rPr>
          <w:lang w:val="uk-UA"/>
        </w:rPr>
        <w:t xml:space="preserve"> р. №  </w:t>
      </w:r>
      <w:r>
        <w:rPr>
          <w:lang w:val="uk-UA"/>
        </w:rPr>
        <w:t>___</w:t>
      </w:r>
    </w:p>
    <w:p w:rsidR="00E50BAF" w:rsidRDefault="00E50BAF" w:rsidP="00E50BAF">
      <w:pPr>
        <w:ind w:firstLine="567"/>
        <w:rPr>
          <w:lang w:val="uk-UA"/>
        </w:rPr>
      </w:pPr>
    </w:p>
    <w:p w:rsidR="00E50BAF" w:rsidRPr="0010214E" w:rsidRDefault="00E50BAF" w:rsidP="00E50BAF">
      <w:pPr>
        <w:ind w:firstLine="567"/>
        <w:rPr>
          <w:lang w:val="uk-UA"/>
        </w:rPr>
      </w:pPr>
    </w:p>
    <w:p w:rsidR="00E50BAF" w:rsidRPr="0010214E" w:rsidRDefault="00E50BAF" w:rsidP="00E50BAF">
      <w:pPr>
        <w:keepNext/>
        <w:keepLines/>
        <w:spacing w:before="240" w:after="240"/>
        <w:jc w:val="center"/>
        <w:rPr>
          <w:b/>
          <w:lang w:val="uk-UA"/>
        </w:rPr>
      </w:pPr>
      <w:r w:rsidRPr="0010214E">
        <w:rPr>
          <w:b/>
          <w:lang w:val="uk-UA"/>
        </w:rPr>
        <w:t>ПЕРЕЛІК</w:t>
      </w:r>
      <w:r w:rsidRPr="0010214E">
        <w:rPr>
          <w:b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10214E">
        <w:rPr>
          <w:b/>
          <w:vertAlign w:val="superscript"/>
          <w:lang w:val="uk-UA"/>
        </w:rPr>
        <w:t>1</w:t>
      </w:r>
    </w:p>
    <w:p w:rsidR="00E50BAF" w:rsidRDefault="00833AA2" w:rsidP="00E50BAF">
      <w:pPr>
        <w:spacing w:before="120"/>
        <w:ind w:firstLine="567"/>
        <w:jc w:val="both"/>
        <w:rPr>
          <w:lang w:val="uk-UA"/>
        </w:rPr>
      </w:pPr>
      <w:r>
        <w:rPr>
          <w:lang w:val="uk-UA"/>
        </w:rPr>
        <w:t>Пільги встановлюються на 2020</w:t>
      </w:r>
      <w:r w:rsidR="00E50BAF" w:rsidRPr="00937CB6">
        <w:rPr>
          <w:lang w:val="uk-UA"/>
        </w:rPr>
        <w:t xml:space="preserve"> рік та вводяться в дію з 01 січня 20</w:t>
      </w:r>
      <w:r w:rsidR="00DA7C0B">
        <w:rPr>
          <w:lang w:val="uk-UA"/>
        </w:rPr>
        <w:t>20</w:t>
      </w:r>
      <w:r w:rsidR="00E50BAF" w:rsidRPr="00937CB6">
        <w:rPr>
          <w:lang w:val="uk-UA"/>
        </w:rPr>
        <w:t xml:space="preserve"> року.</w:t>
      </w:r>
    </w:p>
    <w:p w:rsidR="00E50BAF" w:rsidRPr="00937CB6" w:rsidRDefault="00E50BAF" w:rsidP="00E50BAF">
      <w:pPr>
        <w:spacing w:before="120"/>
        <w:ind w:firstLine="567"/>
        <w:jc w:val="both"/>
        <w:rPr>
          <w:lang w:val="uk-UA"/>
        </w:rPr>
      </w:pPr>
    </w:p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842"/>
        <w:gridCol w:w="2552"/>
        <w:gridCol w:w="4424"/>
      </w:tblGrid>
      <w:tr w:rsidR="00E50BAF" w:rsidRPr="00DC0CDF" w:rsidTr="00E50BAF">
        <w:trPr>
          <w:trHeight w:val="810"/>
        </w:trPr>
        <w:tc>
          <w:tcPr>
            <w:tcW w:w="1844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84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424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E50BAF" w:rsidRPr="00DC0CDF" w:rsidTr="00E50BAF">
        <w:trPr>
          <w:trHeight w:val="810"/>
        </w:trPr>
        <w:tc>
          <w:tcPr>
            <w:tcW w:w="1844" w:type="dxa"/>
            <w:vAlign w:val="center"/>
            <w:hideMark/>
          </w:tcPr>
          <w:p w:rsidR="00E50BAF" w:rsidRPr="007D7CA1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</w:t>
            </w:r>
          </w:p>
        </w:tc>
        <w:tc>
          <w:tcPr>
            <w:tcW w:w="1842" w:type="dxa"/>
            <w:vAlign w:val="center"/>
            <w:hideMark/>
          </w:tcPr>
          <w:p w:rsidR="00E50BAF" w:rsidRPr="007D7CA1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</w:t>
            </w: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</w:rPr>
              <w:t>2320910100</w:t>
            </w:r>
          </w:p>
        </w:tc>
        <w:tc>
          <w:tcPr>
            <w:tcW w:w="4424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Василівська міська рада Запорізької області</w:t>
            </w:r>
          </w:p>
        </w:tc>
      </w:tr>
    </w:tbl>
    <w:p w:rsidR="00E50BAF" w:rsidRPr="00937CB6" w:rsidRDefault="00E50BAF" w:rsidP="00E50BAF">
      <w:pPr>
        <w:ind w:firstLine="567"/>
        <w:jc w:val="both"/>
        <w:rPr>
          <w:noProof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0"/>
        <w:gridCol w:w="1851"/>
      </w:tblGrid>
      <w:tr w:rsidR="00E50BAF" w:rsidRPr="00937CB6" w:rsidTr="00E50BAF">
        <w:tc>
          <w:tcPr>
            <w:tcW w:w="4082" w:type="pct"/>
          </w:tcPr>
          <w:p w:rsidR="00E50BAF" w:rsidRPr="00937CB6" w:rsidRDefault="00E50BAF" w:rsidP="00E50BAF">
            <w:pPr>
              <w:jc w:val="center"/>
              <w:rPr>
                <w:lang w:val="uk-UA"/>
              </w:rPr>
            </w:pPr>
            <w:r w:rsidRPr="00937CB6">
              <w:rPr>
                <w:lang w:val="uk-UA"/>
              </w:rPr>
              <w:t>Група платників, категорія/класифікація</w:t>
            </w:r>
            <w:r w:rsidRPr="00937CB6">
              <w:rPr>
                <w:lang w:val="uk-UA"/>
              </w:rPr>
              <w:br/>
              <w:t>будівель та споруд</w:t>
            </w:r>
          </w:p>
        </w:tc>
        <w:tc>
          <w:tcPr>
            <w:tcW w:w="918" w:type="pct"/>
          </w:tcPr>
          <w:p w:rsidR="00E50BAF" w:rsidRPr="00937CB6" w:rsidRDefault="00E50BAF" w:rsidP="00E50BAF">
            <w:pPr>
              <w:jc w:val="center"/>
              <w:rPr>
                <w:lang w:val="uk-UA"/>
              </w:rPr>
            </w:pPr>
            <w:r w:rsidRPr="00937CB6">
              <w:rPr>
                <w:lang w:val="uk-UA"/>
              </w:rPr>
              <w:t xml:space="preserve">Розмір пільги </w:t>
            </w:r>
            <w:r w:rsidRPr="00937CB6">
              <w:rPr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E50BAF" w:rsidRPr="00937CB6" w:rsidTr="00E50BAF">
        <w:tc>
          <w:tcPr>
            <w:tcW w:w="4082" w:type="pct"/>
          </w:tcPr>
          <w:p w:rsidR="00E50BAF" w:rsidRPr="00494ACA" w:rsidRDefault="00E50BAF" w:rsidP="00E50BA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="00605C86">
              <w:rPr>
                <w:lang w:val="uk-UA"/>
              </w:rPr>
              <w:t>_______________________________________</w:t>
            </w:r>
          </w:p>
        </w:tc>
        <w:tc>
          <w:tcPr>
            <w:tcW w:w="918" w:type="pct"/>
          </w:tcPr>
          <w:p w:rsidR="00E50BAF" w:rsidRDefault="00605C86" w:rsidP="00E50B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</w:t>
            </w:r>
          </w:p>
          <w:p w:rsidR="00E50BAF" w:rsidRPr="00937CB6" w:rsidRDefault="00E50BAF" w:rsidP="00E50BAF">
            <w:pPr>
              <w:jc w:val="center"/>
              <w:rPr>
                <w:lang w:val="uk-UA"/>
              </w:rPr>
            </w:pPr>
          </w:p>
        </w:tc>
      </w:tr>
    </w:tbl>
    <w:p w:rsidR="00E50BAF" w:rsidRPr="00937CB6" w:rsidRDefault="00E50BAF" w:rsidP="00E50BAF">
      <w:pPr>
        <w:spacing w:before="120"/>
        <w:jc w:val="both"/>
        <w:rPr>
          <w:lang w:val="uk-UA"/>
        </w:rPr>
      </w:pPr>
    </w:p>
    <w:p w:rsidR="00E50BAF" w:rsidRPr="00F11881" w:rsidRDefault="00E50BAF" w:rsidP="00E50BAF">
      <w:pPr>
        <w:spacing w:before="120"/>
        <w:ind w:firstLine="567"/>
        <w:jc w:val="both"/>
        <w:rPr>
          <w:lang w:val="uk-UA"/>
        </w:rPr>
      </w:pPr>
      <w:r w:rsidRPr="00F11881">
        <w:rPr>
          <w:vertAlign w:val="superscript"/>
          <w:lang w:val="uk-UA"/>
        </w:rPr>
        <w:t xml:space="preserve">1 </w:t>
      </w:r>
      <w:r w:rsidRPr="00F11881">
        <w:rPr>
          <w:lang w:val="uk-UA"/>
        </w:rPr>
        <w:t>Пільги визначаються з урахуванням норм підпункту 12.3.7 пункту 12.3 статті</w:t>
      </w:r>
      <w:r w:rsidRPr="00F11881">
        <w:t xml:space="preserve"> </w:t>
      </w:r>
      <w:r w:rsidRPr="00F11881">
        <w:rPr>
          <w:lang w:val="uk-UA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E50BAF" w:rsidRDefault="00E50BAF" w:rsidP="00BF7349">
      <w:pPr>
        <w:jc w:val="both"/>
        <w:rPr>
          <w:lang w:val="uk-UA"/>
        </w:rPr>
      </w:pPr>
    </w:p>
    <w:p w:rsidR="00E50BAF" w:rsidRDefault="00E50BAF" w:rsidP="00BF7349">
      <w:pPr>
        <w:jc w:val="both"/>
        <w:rPr>
          <w:lang w:val="uk-UA"/>
        </w:rPr>
      </w:pPr>
    </w:p>
    <w:p w:rsidR="00E50BAF" w:rsidRDefault="00E50BAF" w:rsidP="00BF7349">
      <w:pPr>
        <w:jc w:val="both"/>
        <w:rPr>
          <w:lang w:val="uk-UA"/>
        </w:rPr>
      </w:pPr>
    </w:p>
    <w:p w:rsidR="00DA7C0B" w:rsidRDefault="00402ACB" w:rsidP="00BF7349">
      <w:pPr>
        <w:jc w:val="both"/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    О.Г.Мандичев              </w:t>
      </w: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sectPr w:rsidR="00DA7C0B" w:rsidSect="006A489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56BB0"/>
    <w:multiLevelType w:val="hybridMultilevel"/>
    <w:tmpl w:val="70F0431E"/>
    <w:lvl w:ilvl="0" w:tplc="5FDCF4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A77E6"/>
    <w:multiLevelType w:val="hybridMultilevel"/>
    <w:tmpl w:val="1C00B2C6"/>
    <w:lvl w:ilvl="0" w:tplc="EF843A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6FFD"/>
    <w:multiLevelType w:val="hybridMultilevel"/>
    <w:tmpl w:val="245E8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4F5"/>
    <w:multiLevelType w:val="multilevel"/>
    <w:tmpl w:val="D63EC004"/>
    <w:lvl w:ilvl="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6">
    <w:nsid w:val="4FFF2BEC"/>
    <w:multiLevelType w:val="hybridMultilevel"/>
    <w:tmpl w:val="CE3A128E"/>
    <w:lvl w:ilvl="0" w:tplc="C244649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E6C7E"/>
    <w:multiLevelType w:val="hybridMultilevel"/>
    <w:tmpl w:val="1C00B2C6"/>
    <w:lvl w:ilvl="0" w:tplc="EF843A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23199"/>
    <w:multiLevelType w:val="hybridMultilevel"/>
    <w:tmpl w:val="DF6CE296"/>
    <w:lvl w:ilvl="0" w:tplc="30F0E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E6347A"/>
    <w:multiLevelType w:val="hybridMultilevel"/>
    <w:tmpl w:val="0C4E6E80"/>
    <w:lvl w:ilvl="0" w:tplc="E61A2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1889"/>
    <w:rsid w:val="000179C6"/>
    <w:rsid w:val="00022CE8"/>
    <w:rsid w:val="00023D11"/>
    <w:rsid w:val="00084EB1"/>
    <w:rsid w:val="000C4319"/>
    <w:rsid w:val="000F0940"/>
    <w:rsid w:val="000F0D43"/>
    <w:rsid w:val="00136E23"/>
    <w:rsid w:val="001448BA"/>
    <w:rsid w:val="00144C4F"/>
    <w:rsid w:val="00154A13"/>
    <w:rsid w:val="001637A4"/>
    <w:rsid w:val="00172C95"/>
    <w:rsid w:val="00176A63"/>
    <w:rsid w:val="00200398"/>
    <w:rsid w:val="00202360"/>
    <w:rsid w:val="002172DD"/>
    <w:rsid w:val="00231B01"/>
    <w:rsid w:val="0023395F"/>
    <w:rsid w:val="00242169"/>
    <w:rsid w:val="00250727"/>
    <w:rsid w:val="00264B4D"/>
    <w:rsid w:val="002B6D3A"/>
    <w:rsid w:val="002D3322"/>
    <w:rsid w:val="002E3C5D"/>
    <w:rsid w:val="00303C11"/>
    <w:rsid w:val="0036286E"/>
    <w:rsid w:val="003E2036"/>
    <w:rsid w:val="00402ACB"/>
    <w:rsid w:val="004031F4"/>
    <w:rsid w:val="0045485E"/>
    <w:rsid w:val="004600C0"/>
    <w:rsid w:val="004745A4"/>
    <w:rsid w:val="004745F2"/>
    <w:rsid w:val="004802C0"/>
    <w:rsid w:val="004A6A8D"/>
    <w:rsid w:val="004B727C"/>
    <w:rsid w:val="004C1DD4"/>
    <w:rsid w:val="004C2BD6"/>
    <w:rsid w:val="004C2ED6"/>
    <w:rsid w:val="004D0ABA"/>
    <w:rsid w:val="00530253"/>
    <w:rsid w:val="0054069C"/>
    <w:rsid w:val="00551978"/>
    <w:rsid w:val="00552058"/>
    <w:rsid w:val="00556CB1"/>
    <w:rsid w:val="00567EDE"/>
    <w:rsid w:val="00575398"/>
    <w:rsid w:val="005A3C23"/>
    <w:rsid w:val="005B5A13"/>
    <w:rsid w:val="005E790E"/>
    <w:rsid w:val="00605C86"/>
    <w:rsid w:val="00631E5A"/>
    <w:rsid w:val="006367DC"/>
    <w:rsid w:val="00642BB0"/>
    <w:rsid w:val="00657D7B"/>
    <w:rsid w:val="00673954"/>
    <w:rsid w:val="006948A2"/>
    <w:rsid w:val="006A4894"/>
    <w:rsid w:val="006C7369"/>
    <w:rsid w:val="006E4733"/>
    <w:rsid w:val="006F1722"/>
    <w:rsid w:val="006F4D92"/>
    <w:rsid w:val="00707025"/>
    <w:rsid w:val="007156C7"/>
    <w:rsid w:val="00734E58"/>
    <w:rsid w:val="0074187B"/>
    <w:rsid w:val="00756622"/>
    <w:rsid w:val="00772ADA"/>
    <w:rsid w:val="007748DD"/>
    <w:rsid w:val="0079217B"/>
    <w:rsid w:val="007A2619"/>
    <w:rsid w:val="007B233A"/>
    <w:rsid w:val="007E69BD"/>
    <w:rsid w:val="00813BF0"/>
    <w:rsid w:val="00825B18"/>
    <w:rsid w:val="00833AA2"/>
    <w:rsid w:val="008350A6"/>
    <w:rsid w:val="00892A2D"/>
    <w:rsid w:val="008C5EF6"/>
    <w:rsid w:val="00901307"/>
    <w:rsid w:val="009048C6"/>
    <w:rsid w:val="00907EA9"/>
    <w:rsid w:val="00920F0C"/>
    <w:rsid w:val="00950215"/>
    <w:rsid w:val="00981239"/>
    <w:rsid w:val="00984135"/>
    <w:rsid w:val="009A1FFB"/>
    <w:rsid w:val="009B4740"/>
    <w:rsid w:val="009B7260"/>
    <w:rsid w:val="009C46C3"/>
    <w:rsid w:val="009E0BDC"/>
    <w:rsid w:val="009E2CF6"/>
    <w:rsid w:val="00A428A4"/>
    <w:rsid w:val="00AC35F3"/>
    <w:rsid w:val="00AD1C6B"/>
    <w:rsid w:val="00AD23B4"/>
    <w:rsid w:val="00AF118A"/>
    <w:rsid w:val="00B04B0A"/>
    <w:rsid w:val="00B10827"/>
    <w:rsid w:val="00B222F1"/>
    <w:rsid w:val="00B34CED"/>
    <w:rsid w:val="00BF51A2"/>
    <w:rsid w:val="00BF7349"/>
    <w:rsid w:val="00C02E06"/>
    <w:rsid w:val="00C137CF"/>
    <w:rsid w:val="00C20D65"/>
    <w:rsid w:val="00C27F95"/>
    <w:rsid w:val="00C43B0B"/>
    <w:rsid w:val="00C50398"/>
    <w:rsid w:val="00C812B6"/>
    <w:rsid w:val="00C974EF"/>
    <w:rsid w:val="00CF56E5"/>
    <w:rsid w:val="00D04F42"/>
    <w:rsid w:val="00D07E64"/>
    <w:rsid w:val="00D3437E"/>
    <w:rsid w:val="00D34F17"/>
    <w:rsid w:val="00D618B5"/>
    <w:rsid w:val="00D6761E"/>
    <w:rsid w:val="00D85FC5"/>
    <w:rsid w:val="00D9624A"/>
    <w:rsid w:val="00DA7C0B"/>
    <w:rsid w:val="00DB0D06"/>
    <w:rsid w:val="00DE4E6A"/>
    <w:rsid w:val="00DE6923"/>
    <w:rsid w:val="00DE77F4"/>
    <w:rsid w:val="00E16850"/>
    <w:rsid w:val="00E21326"/>
    <w:rsid w:val="00E32041"/>
    <w:rsid w:val="00E40554"/>
    <w:rsid w:val="00E40805"/>
    <w:rsid w:val="00E40B39"/>
    <w:rsid w:val="00E50BAF"/>
    <w:rsid w:val="00E51225"/>
    <w:rsid w:val="00E5745C"/>
    <w:rsid w:val="00E608E3"/>
    <w:rsid w:val="00E66EB2"/>
    <w:rsid w:val="00E92F64"/>
    <w:rsid w:val="00EA1FD4"/>
    <w:rsid w:val="00EC4A1B"/>
    <w:rsid w:val="00F022AE"/>
    <w:rsid w:val="00F2145B"/>
    <w:rsid w:val="00F300D2"/>
    <w:rsid w:val="00F32E89"/>
    <w:rsid w:val="00F60CD2"/>
    <w:rsid w:val="00F711B6"/>
    <w:rsid w:val="00F74176"/>
    <w:rsid w:val="00F815B3"/>
    <w:rsid w:val="00F92E28"/>
    <w:rsid w:val="00FB33B4"/>
    <w:rsid w:val="00FC487C"/>
    <w:rsid w:val="00FC5F2C"/>
    <w:rsid w:val="00FE592E"/>
    <w:rsid w:val="00FE6023"/>
    <w:rsid w:val="00FE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BA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44C4F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144C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144C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">
    <w:name w:val="Нормальний текст"/>
    <w:basedOn w:val="a"/>
    <w:rsid w:val="00E50BA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E50B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E50BA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E50BA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50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D851-A403-4EFD-A012-86F2BEE2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43</cp:revision>
  <cp:lastPrinted>2019-05-31T10:49:00Z</cp:lastPrinted>
  <dcterms:created xsi:type="dcterms:W3CDTF">2019-04-26T08:24:00Z</dcterms:created>
  <dcterms:modified xsi:type="dcterms:W3CDTF">2019-06-04T11:10:00Z</dcterms:modified>
</cp:coreProperties>
</file>