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77" w:rsidRPr="004F76F4" w:rsidRDefault="00016377" w:rsidP="003771B6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rStyle w:val="Strong"/>
          <w:color w:val="333333"/>
          <w:lang w:val="uk-UA"/>
        </w:rPr>
      </w:pPr>
      <w:r w:rsidRPr="004F76F4">
        <w:rPr>
          <w:rStyle w:val="Strong"/>
          <w:color w:val="333333"/>
        </w:rPr>
        <w:t xml:space="preserve">Підсумки </w:t>
      </w:r>
      <w:r w:rsidRPr="004F76F4">
        <w:rPr>
          <w:rStyle w:val="Strong"/>
          <w:color w:val="333333"/>
          <w:lang w:val="uk-UA"/>
        </w:rPr>
        <w:t xml:space="preserve"> </w:t>
      </w:r>
      <w:r w:rsidRPr="004F76F4">
        <w:rPr>
          <w:rStyle w:val="Strong"/>
          <w:color w:val="333333"/>
        </w:rPr>
        <w:t xml:space="preserve">виконання </w:t>
      </w:r>
      <w:r>
        <w:rPr>
          <w:rStyle w:val="Strong"/>
          <w:color w:val="333333"/>
          <w:lang w:val="uk-UA"/>
        </w:rPr>
        <w:t>б</w:t>
      </w:r>
      <w:r w:rsidRPr="004F76F4">
        <w:rPr>
          <w:rStyle w:val="Strong"/>
          <w:color w:val="333333"/>
        </w:rPr>
        <w:t>юджет</w:t>
      </w:r>
      <w:r>
        <w:rPr>
          <w:rStyle w:val="Strong"/>
          <w:color w:val="333333"/>
          <w:lang w:val="uk-UA"/>
        </w:rPr>
        <w:t>у</w:t>
      </w:r>
      <w:r w:rsidRPr="004F76F4">
        <w:rPr>
          <w:rStyle w:val="Strong"/>
          <w:color w:val="333333"/>
        </w:rPr>
        <w:t xml:space="preserve"> Василівсько</w:t>
      </w:r>
      <w:r>
        <w:rPr>
          <w:rStyle w:val="Strong"/>
          <w:color w:val="333333"/>
          <w:lang w:val="uk-UA"/>
        </w:rPr>
        <w:t xml:space="preserve">ї </w:t>
      </w:r>
      <w:r w:rsidRPr="004F76F4">
        <w:rPr>
          <w:rStyle w:val="Strong"/>
          <w:color w:val="333333"/>
          <w:lang w:val="uk-UA"/>
        </w:rPr>
        <w:t xml:space="preserve"> міської територіальної громади </w:t>
      </w:r>
    </w:p>
    <w:p w:rsidR="00016377" w:rsidRDefault="00016377" w:rsidP="004F76F4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rStyle w:val="Strong"/>
          <w:color w:val="333333"/>
          <w:lang w:val="uk-UA"/>
        </w:rPr>
      </w:pPr>
      <w:r w:rsidRPr="004F76F4">
        <w:rPr>
          <w:rStyle w:val="Strong"/>
          <w:color w:val="333333"/>
        </w:rPr>
        <w:t>за  </w:t>
      </w:r>
      <w:r>
        <w:rPr>
          <w:rStyle w:val="Strong"/>
          <w:color w:val="333333"/>
          <w:lang w:val="uk-UA"/>
        </w:rPr>
        <w:t xml:space="preserve">січень – лютий </w:t>
      </w:r>
      <w:r w:rsidRPr="004F76F4">
        <w:rPr>
          <w:rStyle w:val="Strong"/>
          <w:color w:val="333333"/>
        </w:rPr>
        <w:t>20</w:t>
      </w:r>
      <w:r w:rsidRPr="004F76F4">
        <w:rPr>
          <w:rStyle w:val="Strong"/>
          <w:color w:val="333333"/>
          <w:lang w:val="uk-UA"/>
        </w:rPr>
        <w:t>21</w:t>
      </w:r>
      <w:r w:rsidRPr="004F76F4">
        <w:rPr>
          <w:rStyle w:val="Strong"/>
          <w:color w:val="333333"/>
        </w:rPr>
        <w:t xml:space="preserve">  р</w:t>
      </w:r>
      <w:r w:rsidRPr="004F76F4">
        <w:rPr>
          <w:rStyle w:val="Strong"/>
          <w:color w:val="333333"/>
          <w:lang w:val="uk-UA"/>
        </w:rPr>
        <w:t>оку</w:t>
      </w:r>
    </w:p>
    <w:p w:rsidR="00016377" w:rsidRPr="004F76F4" w:rsidRDefault="00016377" w:rsidP="004F76F4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</w:p>
    <w:p w:rsidR="00016377" w:rsidRPr="004F76F4" w:rsidRDefault="00016377" w:rsidP="004F76F4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</w:rPr>
      </w:pPr>
      <w:r w:rsidRPr="004F76F4">
        <w:rPr>
          <w:rStyle w:val="Strong"/>
          <w:color w:val="333333"/>
        </w:rPr>
        <w:t>ДОХОДИ</w:t>
      </w:r>
    </w:p>
    <w:p w:rsidR="00016377" w:rsidRPr="004F76F4" w:rsidRDefault="00016377" w:rsidP="00845966">
      <w:pPr>
        <w:pStyle w:val="NormalWeb"/>
        <w:tabs>
          <w:tab w:val="left" w:pos="540"/>
        </w:tabs>
        <w:spacing w:before="0" w:beforeAutospacing="0" w:after="0" w:afterAutospacing="0"/>
        <w:ind w:firstLine="540"/>
        <w:jc w:val="both"/>
        <w:rPr>
          <w:lang w:val="uk-UA"/>
        </w:rPr>
      </w:pPr>
      <w:r w:rsidRPr="004F76F4">
        <w:rPr>
          <w:lang w:val="uk-UA"/>
        </w:rPr>
        <w:t>До загального фонду</w:t>
      </w:r>
      <w:r>
        <w:rPr>
          <w:lang w:val="uk-UA"/>
        </w:rPr>
        <w:t xml:space="preserve"> бюджету міської територіальної громади за січень-лютий </w:t>
      </w:r>
      <w:r w:rsidRPr="004F76F4">
        <w:rPr>
          <w:lang w:val="uk-UA"/>
        </w:rPr>
        <w:t>2021 року надійшло 15430,6 тис.грн. доходів, податків та зборів, що становить 139,8</w:t>
      </w:r>
      <w:r>
        <w:rPr>
          <w:lang w:val="uk-UA"/>
        </w:rPr>
        <w:t xml:space="preserve"> % суми затвердженого плану на </w:t>
      </w:r>
      <w:r w:rsidRPr="004F76F4">
        <w:rPr>
          <w:lang w:val="uk-UA"/>
        </w:rPr>
        <w:t xml:space="preserve">січень-лютий 2021 року. </w:t>
      </w:r>
    </w:p>
    <w:p w:rsidR="00016377" w:rsidRPr="004F76F4" w:rsidRDefault="00016377" w:rsidP="00845966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До</w:t>
      </w:r>
      <w:r w:rsidRPr="004F76F4">
        <w:rPr>
          <w:color w:val="333333"/>
          <w:lang w:val="uk-UA"/>
        </w:rPr>
        <w:t xml:space="preserve"> </w:t>
      </w:r>
      <w:r>
        <w:rPr>
          <w:color w:val="333333"/>
        </w:rPr>
        <w:t>бюджету</w:t>
      </w:r>
      <w:r w:rsidRPr="004F76F4">
        <w:rPr>
          <w:color w:val="333333"/>
          <w:lang w:val="uk-UA"/>
        </w:rPr>
        <w:t xml:space="preserve"> </w:t>
      </w:r>
      <w:r w:rsidRPr="004F76F4">
        <w:rPr>
          <w:lang w:val="uk-UA"/>
        </w:rPr>
        <w:t>міської територіальної  громади</w:t>
      </w:r>
      <w:r w:rsidRPr="004F76F4">
        <w:rPr>
          <w:color w:val="333333"/>
          <w:lang w:val="uk-UA"/>
        </w:rPr>
        <w:t xml:space="preserve"> </w:t>
      </w:r>
      <w:r w:rsidRPr="004F76F4">
        <w:rPr>
          <w:color w:val="333333"/>
        </w:rPr>
        <w:t>надійшл</w:t>
      </w:r>
      <w:r w:rsidRPr="004F76F4">
        <w:rPr>
          <w:color w:val="333333"/>
          <w:lang w:val="uk-UA"/>
        </w:rPr>
        <w:t>о</w:t>
      </w:r>
      <w:r w:rsidRPr="004F76F4">
        <w:rPr>
          <w:color w:val="333333"/>
        </w:rPr>
        <w:t>: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податку на доходи  фізичних осіб  –9307,8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податку на прибуток підприємств та фінансових установ комунальної власності – 22,0 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рентна плата за користування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надрами для видобування корисних копалин загальнодержавного значення  - 4,1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акцизний податок з реалізапції  суб’єктами господарювання роздрібної торгівлі підакцизних товарів – 495,4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подато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 на нерухоме майно відмінне від земельної ділянки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- 471,9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плати за землю – 1471,1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єдиний податок – 3275,6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туристичний збір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- 2,4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адміністративні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штрафи та інші санкції  - 25,7 тис.грн.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адміністративні штрафи  та штрафні санкці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ї за порушення законодавства у сфері виробництва та обігу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алкогольних напоїв – 0,8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адміністративного збору за проведення державної реєстрації юридичних осіб, фізичних осіб – підприємців та громадських формувань – 38,3 тис.грн., 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плата за надання інших адміністративних послуг  - 238,4 тис.грн., 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орендної плати за користування майном, що перебуває в комунальній власності – 65,6  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державне мито – 5,6 тис.грн.;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інші надходження -  5,1 тис.грн.</w:t>
      </w:r>
    </w:p>
    <w:p w:rsidR="00016377" w:rsidRPr="004F76F4" w:rsidRDefault="00016377" w:rsidP="00845966">
      <w:pPr>
        <w:numPr>
          <w:ilvl w:val="0"/>
          <w:numId w:val="1"/>
        </w:numPr>
        <w:tabs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кошт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и  від реалізації безхазяйного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майна, знахідок, с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падкового майна, майна, одержан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ого територіальною громадою в порядку оподаткування чи дарування, а також валютні цінності  і грошові кошти власники яких невідомі  - 0,8 тис.грн.</w:t>
      </w:r>
    </w:p>
    <w:p w:rsidR="00016377" w:rsidRPr="004F76F4" w:rsidRDefault="00016377" w:rsidP="0084596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Крім того, за січень – лютий   202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 о загального фонду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бюджету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міської територіальної громади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надійшло: базової дотації – 777,0 тис.грн., додаткової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дотації з державного бюджету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місцевим бюджетам на здійснення переданих з державного бюджету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видатків з утримання закладів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освіти та охорони здоров’я в сумі 371,1 тис.грн., субвенцій з державного б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юджету в сумі 8479,4 тис.грн.,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субвенцій з місцевих бюджетів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за рахунок відповідних субвенцій з державного бюджету –608,0 тис.грн.</w:t>
      </w:r>
    </w:p>
    <w:p w:rsidR="00016377" w:rsidRPr="004F76F4" w:rsidRDefault="00016377" w:rsidP="0084596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спеціального фонду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бюджету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міської територіальної громади надійшло коштів в сумі 245,0</w:t>
      </w:r>
      <w:r w:rsidRPr="004F76F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тис.грн., що становить  12,6 %  до уточненого плану на 2021 рік.</w:t>
      </w:r>
    </w:p>
    <w:p w:rsidR="00016377" w:rsidRDefault="00016377" w:rsidP="00845966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firstLine="540"/>
        <w:jc w:val="center"/>
        <w:rPr>
          <w:rStyle w:val="Strong"/>
          <w:color w:val="333333"/>
          <w:lang w:val="uk-UA"/>
        </w:rPr>
      </w:pPr>
    </w:p>
    <w:p w:rsidR="00016377" w:rsidRPr="004F76F4" w:rsidRDefault="00016377" w:rsidP="00845966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firstLine="540"/>
        <w:jc w:val="center"/>
        <w:rPr>
          <w:rStyle w:val="Strong"/>
          <w:color w:val="333333"/>
        </w:rPr>
      </w:pPr>
      <w:r w:rsidRPr="004F76F4">
        <w:rPr>
          <w:rStyle w:val="Strong"/>
          <w:color w:val="333333"/>
        </w:rPr>
        <w:t>ВИДАТКИ</w:t>
      </w:r>
    </w:p>
    <w:p w:rsidR="00016377" w:rsidRPr="004F76F4" w:rsidRDefault="00016377" w:rsidP="0084596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Видаткова частина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загального фонду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бюджету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міської тер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иторіальної громади за січень-лютого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2021 року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виконана в обсязі 26690,3</w:t>
      </w:r>
      <w:r w:rsidRPr="004F76F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тис.грн. при уточненому плані на рік </w:t>
      </w:r>
      <w:r w:rsidRPr="004F76F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174797,3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тис.грн., що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становить 15,3 %.</w:t>
      </w:r>
    </w:p>
    <w:p w:rsidR="00016377" w:rsidRPr="004F76F4" w:rsidRDefault="00016377" w:rsidP="0084596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Заробітна плата працівникам установ соціально-культурної сфери виплачена в  повному обсязі з урахуванням мінімальної заробітної плати.</w:t>
      </w:r>
    </w:p>
    <w:p w:rsidR="00016377" w:rsidRPr="004F76F4" w:rsidRDefault="00016377" w:rsidP="0084596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Видатки на оплату праці працівників бюджетних установ та нараху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вання на неї здійснені у сумі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23178,0 тис.грн., при уточненому план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 на рік 142582,6 тис.грн., що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становить  16,2 % . </w:t>
      </w:r>
    </w:p>
    <w:p w:rsidR="00016377" w:rsidRPr="004F76F4" w:rsidRDefault="00016377" w:rsidP="0084596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Видатки на медикаменти та перев</w:t>
      </w:r>
      <w:r w:rsidRPr="004F76F4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язувальні матеріали, продукти харчування  за загальним фондом проведено у сумі 201,0 тис.гр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н. при уточненому плані на рік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2760,1 тис.грн. що становить  7,3 %.</w:t>
      </w:r>
    </w:p>
    <w:p w:rsidR="00016377" w:rsidRPr="004F76F4" w:rsidRDefault="00016377" w:rsidP="0084596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На оплату комунальних послуг та енергонос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іїв використано 1231,3тис.грн. при уточненому плані на рік 9686,9 тис.грн. що становить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12,7 %.</w:t>
      </w:r>
    </w:p>
    <w:p w:rsidR="00016377" w:rsidRPr="004F76F4" w:rsidRDefault="00016377" w:rsidP="0084596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Видаткова частина спеціального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фонду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бюджету міської територіальної </w:t>
      </w:r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громади </w:t>
      </w:r>
      <w:bookmarkStart w:id="0" w:name="_GoBack"/>
      <w:bookmarkEnd w:id="0"/>
      <w:r w:rsidRPr="004F76F4">
        <w:rPr>
          <w:rFonts w:ascii="Times New Roman" w:hAnsi="Times New Roman" w:cs="Times New Roman"/>
          <w:sz w:val="24"/>
          <w:szCs w:val="24"/>
          <w:lang w:val="uk-UA" w:eastAsia="ru-RU"/>
        </w:rPr>
        <w:t>виконана за звітний період в обсязі  289,2 тис.грн.</w:t>
      </w:r>
    </w:p>
    <w:p w:rsidR="00016377" w:rsidRPr="004F76F4" w:rsidRDefault="00016377" w:rsidP="00CC7EA3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/>
        <w:ind w:left="5664" w:firstLine="540"/>
        <w:jc w:val="both"/>
        <w:rPr>
          <w:color w:val="333333"/>
          <w:lang w:val="uk-UA"/>
        </w:rPr>
      </w:pPr>
      <w:r w:rsidRPr="004F76F4">
        <w:rPr>
          <w:color w:val="333333"/>
          <w:lang w:val="uk-UA"/>
        </w:rPr>
        <w:t xml:space="preserve">Відділ </w:t>
      </w:r>
      <w:r w:rsidRPr="004F76F4">
        <w:rPr>
          <w:color w:val="333333"/>
        </w:rPr>
        <w:t xml:space="preserve">фінансів </w:t>
      </w:r>
      <w:r w:rsidRPr="004F76F4">
        <w:rPr>
          <w:color w:val="333333"/>
          <w:lang w:val="uk-UA"/>
        </w:rPr>
        <w:t>міської ради</w:t>
      </w:r>
    </w:p>
    <w:p w:rsidR="00016377" w:rsidRPr="004F76F4" w:rsidRDefault="00016377" w:rsidP="004F76F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6377" w:rsidRPr="004F76F4" w:rsidSect="008A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 Times New Roman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7C68"/>
    <w:multiLevelType w:val="hybridMultilevel"/>
    <w:tmpl w:val="F40AE308"/>
    <w:lvl w:ilvl="0" w:tplc="BC743EA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D8F"/>
    <w:rsid w:val="00016377"/>
    <w:rsid w:val="000237C3"/>
    <w:rsid w:val="001320B1"/>
    <w:rsid w:val="001D5124"/>
    <w:rsid w:val="003771B6"/>
    <w:rsid w:val="003F7AD6"/>
    <w:rsid w:val="004F76F4"/>
    <w:rsid w:val="00540279"/>
    <w:rsid w:val="006149B9"/>
    <w:rsid w:val="00671D8F"/>
    <w:rsid w:val="00845966"/>
    <w:rsid w:val="008A68A7"/>
    <w:rsid w:val="00917F6A"/>
    <w:rsid w:val="00932269"/>
    <w:rsid w:val="009752DD"/>
    <w:rsid w:val="009F48FD"/>
    <w:rsid w:val="00B8596D"/>
    <w:rsid w:val="00BB1350"/>
    <w:rsid w:val="00C63C94"/>
    <w:rsid w:val="00CC7EA3"/>
    <w:rsid w:val="00D722E2"/>
    <w:rsid w:val="00D753BE"/>
    <w:rsid w:val="00EA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A7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F48FD"/>
    <w:rPr>
      <w:b/>
      <w:bCs/>
    </w:rPr>
  </w:style>
  <w:style w:type="character" w:styleId="Hyperlink">
    <w:name w:val="Hyperlink"/>
    <w:basedOn w:val="DefaultParagraphFont"/>
    <w:uiPriority w:val="99"/>
    <w:semiHidden/>
    <w:rsid w:val="009F48FD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Normal"/>
    <w:uiPriority w:val="99"/>
    <w:rsid w:val="00D753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504</Words>
  <Characters>2877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</cp:lastModifiedBy>
  <cp:revision>7</cp:revision>
  <dcterms:created xsi:type="dcterms:W3CDTF">2019-06-05T12:47:00Z</dcterms:created>
  <dcterms:modified xsi:type="dcterms:W3CDTF">2021-03-23T06:18:00Z</dcterms:modified>
</cp:coreProperties>
</file>